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F4850" w14:textId="77777777" w:rsidR="006F1708" w:rsidRDefault="006F1708">
      <w:pPr>
        <w:rPr>
          <w:rFonts w:ascii="Arial" w:hAnsi="Arial" w:cs="Arial"/>
          <w:sz w:val="28"/>
          <w:szCs w:val="28"/>
        </w:rPr>
      </w:pPr>
      <w:bookmarkStart w:id="0" w:name="_GoBack"/>
      <w:bookmarkEnd w:id="0"/>
      <w:r>
        <w:rPr>
          <w:rFonts w:ascii="Arial" w:hAnsi="Arial" w:cs="Arial"/>
          <w:sz w:val="28"/>
          <w:szCs w:val="28"/>
        </w:rPr>
        <w:t>Combe Martin Community Centre Exempt Charity</w:t>
      </w:r>
    </w:p>
    <w:p w14:paraId="45181F9A" w14:textId="77777777" w:rsidR="006F1708" w:rsidRDefault="006F1708">
      <w:pPr>
        <w:rPr>
          <w:rFonts w:ascii="Arial" w:hAnsi="Arial" w:cs="Arial"/>
          <w:sz w:val="28"/>
          <w:szCs w:val="28"/>
        </w:rPr>
      </w:pPr>
      <w:r>
        <w:rPr>
          <w:rFonts w:ascii="Arial" w:hAnsi="Arial" w:cs="Arial"/>
          <w:sz w:val="28"/>
          <w:szCs w:val="28"/>
        </w:rPr>
        <w:t>(National Schools (ref no 4052972) also known as Combe Martin Girls and Boys School)</w:t>
      </w:r>
    </w:p>
    <w:p w14:paraId="524DF63C" w14:textId="77777777" w:rsidR="006F1708" w:rsidRDefault="006F1708">
      <w:pPr>
        <w:rPr>
          <w:rFonts w:ascii="Arial" w:hAnsi="Arial" w:cs="Arial"/>
          <w:sz w:val="28"/>
          <w:szCs w:val="28"/>
        </w:rPr>
      </w:pPr>
      <w:r>
        <w:rPr>
          <w:rFonts w:ascii="Arial" w:hAnsi="Arial" w:cs="Arial"/>
          <w:sz w:val="28"/>
          <w:szCs w:val="28"/>
        </w:rPr>
        <w:t>Summary of Trustee and Trust issues (extract CC23) Gov.uk.</w:t>
      </w:r>
    </w:p>
    <w:p w14:paraId="0321F831" w14:textId="77777777" w:rsidR="00AE463E" w:rsidRDefault="006F1708">
      <w:pPr>
        <w:rPr>
          <w:rFonts w:ascii="Arial" w:hAnsi="Arial" w:cs="Arial"/>
          <w:sz w:val="24"/>
          <w:szCs w:val="24"/>
        </w:rPr>
      </w:pPr>
      <w:r>
        <w:rPr>
          <w:rFonts w:ascii="Arial" w:hAnsi="Arial" w:cs="Arial"/>
          <w:sz w:val="24"/>
          <w:szCs w:val="24"/>
        </w:rPr>
        <w:t>Author: Cllr David Woodbury</w:t>
      </w:r>
      <w:r w:rsidR="00AE463E">
        <w:rPr>
          <w:rFonts w:ascii="Arial" w:hAnsi="Arial" w:cs="Arial"/>
          <w:sz w:val="24"/>
          <w:szCs w:val="24"/>
        </w:rPr>
        <w:tab/>
      </w:r>
      <w:r w:rsidR="00AE463E">
        <w:rPr>
          <w:rFonts w:ascii="Arial" w:hAnsi="Arial" w:cs="Arial"/>
          <w:sz w:val="24"/>
          <w:szCs w:val="24"/>
        </w:rPr>
        <w:tab/>
      </w:r>
      <w:r w:rsidR="00AE463E">
        <w:rPr>
          <w:rFonts w:ascii="Arial" w:hAnsi="Arial" w:cs="Arial"/>
          <w:sz w:val="24"/>
          <w:szCs w:val="24"/>
        </w:rPr>
        <w:tab/>
      </w:r>
      <w:r w:rsidR="00AE463E">
        <w:rPr>
          <w:rFonts w:ascii="Arial" w:hAnsi="Arial" w:cs="Arial"/>
          <w:sz w:val="24"/>
          <w:szCs w:val="24"/>
        </w:rPr>
        <w:tab/>
        <w:t>Date: 3</w:t>
      </w:r>
      <w:r w:rsidR="00AE463E" w:rsidRPr="00AE463E">
        <w:rPr>
          <w:rFonts w:ascii="Arial" w:hAnsi="Arial" w:cs="Arial"/>
          <w:sz w:val="24"/>
          <w:szCs w:val="24"/>
          <w:vertAlign w:val="superscript"/>
        </w:rPr>
        <w:t>rd</w:t>
      </w:r>
      <w:r w:rsidR="00AE463E">
        <w:rPr>
          <w:rFonts w:ascii="Arial" w:hAnsi="Arial" w:cs="Arial"/>
          <w:sz w:val="24"/>
          <w:szCs w:val="24"/>
        </w:rPr>
        <w:t xml:space="preserve"> July 2020</w:t>
      </w:r>
    </w:p>
    <w:p w14:paraId="1851D422" w14:textId="77777777" w:rsidR="00AE463E" w:rsidRDefault="00AE463E" w:rsidP="00AE463E">
      <w:pPr>
        <w:rPr>
          <w:rFonts w:ascii="Arial" w:hAnsi="Arial" w:cs="Arial"/>
          <w:sz w:val="24"/>
          <w:szCs w:val="24"/>
        </w:rPr>
      </w:pPr>
      <w:r>
        <w:rPr>
          <w:rFonts w:ascii="Arial" w:hAnsi="Arial" w:cs="Arial"/>
          <w:sz w:val="24"/>
          <w:szCs w:val="24"/>
        </w:rPr>
        <w:t>Status: Briefing for Trustees.</w:t>
      </w:r>
      <w:r>
        <w:rPr>
          <w:rFonts w:ascii="Arial" w:hAnsi="Arial" w:cs="Arial"/>
          <w:sz w:val="24"/>
          <w:szCs w:val="24"/>
        </w:rPr>
        <w:tab/>
      </w:r>
    </w:p>
    <w:p w14:paraId="56A894B7" w14:textId="39A3A6B0" w:rsidR="00C665FB" w:rsidRPr="00AE463E" w:rsidRDefault="006F1708" w:rsidP="00AE463E">
      <w:pPr>
        <w:pStyle w:val="ListParagraph"/>
        <w:numPr>
          <w:ilvl w:val="0"/>
          <w:numId w:val="5"/>
        </w:numPr>
        <w:rPr>
          <w:rFonts w:ascii="Arial" w:hAnsi="Arial" w:cs="Arial"/>
          <w:sz w:val="24"/>
          <w:szCs w:val="24"/>
        </w:rPr>
      </w:pPr>
      <w:r w:rsidRPr="00AE463E">
        <w:rPr>
          <w:rFonts w:ascii="Arial" w:hAnsi="Arial" w:cs="Arial"/>
          <w:sz w:val="24"/>
          <w:szCs w:val="24"/>
        </w:rPr>
        <w:t xml:space="preserve"> </w:t>
      </w:r>
      <w:r w:rsidR="00C665FB" w:rsidRPr="00AE463E">
        <w:rPr>
          <w:rFonts w:ascii="Arial" w:eastAsia="Times New Roman" w:hAnsi="Arial" w:cs="Arial"/>
          <w:b/>
          <w:bCs/>
          <w:color w:val="0B0C0C"/>
          <w:sz w:val="24"/>
          <w:szCs w:val="24"/>
          <w:lang w:eastAsia="en-GB"/>
        </w:rPr>
        <w:t>Responsibilities of trustees of exempt charities</w:t>
      </w:r>
    </w:p>
    <w:p w14:paraId="1C5E16C3" w14:textId="77777777" w:rsidR="00C665FB" w:rsidRPr="00C665FB" w:rsidRDefault="00C665FB" w:rsidP="00C665FB">
      <w:pPr>
        <w:shd w:val="clear" w:color="auto" w:fill="FFFFFF"/>
        <w:spacing w:before="300" w:after="300" w:line="240" w:lineRule="auto"/>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All charity trustees share the same general duties and responsibilities, including the charity trustees of an exempt charity.</w:t>
      </w:r>
    </w:p>
    <w:p w14:paraId="609BE7FE" w14:textId="77777777" w:rsidR="00C665FB" w:rsidRPr="00C665FB" w:rsidRDefault="00C665FB" w:rsidP="00C665FB">
      <w:pPr>
        <w:shd w:val="clear" w:color="auto" w:fill="FFFFFF"/>
        <w:spacing w:before="300" w:after="300" w:line="240" w:lineRule="auto"/>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For example, they should regularly review the effectiveness of their charity and must:</w:t>
      </w:r>
    </w:p>
    <w:p w14:paraId="581FDB1B" w14:textId="77777777" w:rsidR="00C665FB" w:rsidRPr="00C665FB" w:rsidRDefault="00C665FB" w:rsidP="00C665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ensure their charity is carrying out its purposes for the public benefit</w:t>
      </w:r>
    </w:p>
    <w:p w14:paraId="592580DC" w14:textId="77777777" w:rsidR="00C665FB" w:rsidRPr="00C665FB" w:rsidRDefault="00C665FB" w:rsidP="00C665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comply with their charity’s governing document and the law</w:t>
      </w:r>
    </w:p>
    <w:p w14:paraId="0ECD60E6" w14:textId="77777777" w:rsidR="00C665FB" w:rsidRPr="00C665FB" w:rsidRDefault="00C665FB" w:rsidP="00C665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act in their charity’s best interests</w:t>
      </w:r>
    </w:p>
    <w:p w14:paraId="780B1D62" w14:textId="77777777" w:rsidR="00C665FB" w:rsidRPr="00C665FB" w:rsidRDefault="00C665FB" w:rsidP="00C665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manage their charity’s resources responsibly</w:t>
      </w:r>
    </w:p>
    <w:p w14:paraId="5D7343E4" w14:textId="77777777" w:rsidR="00C665FB" w:rsidRPr="00C665FB" w:rsidRDefault="00C665FB" w:rsidP="00C665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act with reasonable care and skill</w:t>
      </w:r>
    </w:p>
    <w:p w14:paraId="62270791" w14:textId="77777777" w:rsidR="0033709F" w:rsidRDefault="00C665FB" w:rsidP="0033709F">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ensure their charity is accountable</w:t>
      </w:r>
    </w:p>
    <w:p w14:paraId="33833099" w14:textId="77777777" w:rsidR="0033709F" w:rsidRDefault="0033709F" w:rsidP="0033709F">
      <w:pPr>
        <w:shd w:val="clear" w:color="auto" w:fill="FFFFFF"/>
        <w:spacing w:after="75" w:line="240" w:lineRule="auto"/>
        <w:ind w:left="300"/>
        <w:rPr>
          <w:rFonts w:ascii="Arial" w:eastAsia="Times New Roman" w:hAnsi="Arial" w:cs="Arial"/>
          <w:color w:val="0B0C0C"/>
          <w:sz w:val="24"/>
          <w:szCs w:val="24"/>
          <w:lang w:eastAsia="en-GB"/>
        </w:rPr>
      </w:pPr>
    </w:p>
    <w:p w14:paraId="6F98C0B8" w14:textId="12CE6083" w:rsidR="00C665FB" w:rsidRPr="0033709F" w:rsidRDefault="00C665FB" w:rsidP="0033709F">
      <w:pPr>
        <w:pStyle w:val="ListParagraph"/>
        <w:numPr>
          <w:ilvl w:val="0"/>
          <w:numId w:val="5"/>
        </w:numPr>
        <w:shd w:val="clear" w:color="auto" w:fill="FFFFFF"/>
        <w:spacing w:after="75" w:line="240" w:lineRule="auto"/>
        <w:rPr>
          <w:rFonts w:ascii="Arial" w:eastAsia="Times New Roman" w:hAnsi="Arial" w:cs="Arial"/>
          <w:b/>
          <w:bCs/>
          <w:color w:val="0B0C0C"/>
          <w:sz w:val="24"/>
          <w:szCs w:val="24"/>
          <w:lang w:eastAsia="en-GB"/>
        </w:rPr>
      </w:pPr>
      <w:r w:rsidRPr="0033709F">
        <w:rPr>
          <w:rFonts w:ascii="Arial" w:hAnsi="Arial" w:cs="Arial"/>
          <w:b/>
          <w:bCs/>
          <w:color w:val="0B0C0C"/>
        </w:rPr>
        <w:t>Accounts, auditing and annual reports</w:t>
      </w:r>
    </w:p>
    <w:p w14:paraId="3C4B9B5D" w14:textId="77777777" w:rsidR="0033709F" w:rsidRDefault="00C665FB" w:rsidP="00C665FB">
      <w:pPr>
        <w:pStyle w:val="NormalWeb"/>
        <w:shd w:val="clear" w:color="auto" w:fill="FFFFFF"/>
        <w:spacing w:before="300" w:beforeAutospacing="0" w:after="300" w:afterAutospacing="0"/>
        <w:rPr>
          <w:rFonts w:ascii="Arial" w:hAnsi="Arial" w:cs="Arial"/>
          <w:color w:val="0B0C0C"/>
        </w:rPr>
      </w:pPr>
      <w:r w:rsidRPr="00AE463E">
        <w:rPr>
          <w:rFonts w:ascii="Arial" w:hAnsi="Arial" w:cs="Arial"/>
          <w:color w:val="0B0C0C"/>
        </w:rPr>
        <w:t>All exempt charities must produce proper accounts, as they are publicly accountable. However, unlike registered charities they do not need to submit these to the Commission each year and the form and content of the accounts may differ.</w:t>
      </w:r>
    </w:p>
    <w:p w14:paraId="210AFF2E" w14:textId="0B3CF339" w:rsidR="00C665FB" w:rsidRPr="00AE463E" w:rsidRDefault="00C665FB" w:rsidP="00C665FB">
      <w:pPr>
        <w:pStyle w:val="NormalWeb"/>
        <w:shd w:val="clear" w:color="auto" w:fill="FFFFFF"/>
        <w:spacing w:before="300" w:beforeAutospacing="0" w:after="300" w:afterAutospacing="0"/>
        <w:rPr>
          <w:rFonts w:ascii="Arial" w:hAnsi="Arial" w:cs="Arial"/>
          <w:color w:val="0B0C0C"/>
        </w:rPr>
      </w:pPr>
      <w:r w:rsidRPr="00AE463E">
        <w:rPr>
          <w:rFonts w:ascii="Arial" w:hAnsi="Arial" w:cs="Arial"/>
          <w:color w:val="0B0C0C"/>
        </w:rPr>
        <w:t>In general, an exempt charity must:</w:t>
      </w:r>
    </w:p>
    <w:p w14:paraId="3DEC3904" w14:textId="77777777" w:rsidR="00C665FB" w:rsidRPr="00AE463E" w:rsidRDefault="00C665FB" w:rsidP="00C665FB">
      <w:pPr>
        <w:numPr>
          <w:ilvl w:val="0"/>
          <w:numId w:val="2"/>
        </w:numPr>
        <w:shd w:val="clear" w:color="auto" w:fill="FFFFFF"/>
        <w:spacing w:after="75" w:line="240" w:lineRule="auto"/>
        <w:ind w:left="300"/>
        <w:rPr>
          <w:rFonts w:ascii="Arial" w:hAnsi="Arial" w:cs="Arial"/>
          <w:color w:val="0B0C0C"/>
          <w:sz w:val="24"/>
          <w:szCs w:val="24"/>
        </w:rPr>
      </w:pPr>
      <w:proofErr w:type="gramStart"/>
      <w:r w:rsidRPr="00AE463E">
        <w:rPr>
          <w:rFonts w:ascii="Arial" w:hAnsi="Arial" w:cs="Arial"/>
          <w:color w:val="0B0C0C"/>
          <w:sz w:val="24"/>
          <w:szCs w:val="24"/>
        </w:rPr>
        <w:t>keep</w:t>
      </w:r>
      <w:proofErr w:type="gramEnd"/>
      <w:r w:rsidRPr="00AE463E">
        <w:rPr>
          <w:rFonts w:ascii="Arial" w:hAnsi="Arial" w:cs="Arial"/>
          <w:color w:val="0B0C0C"/>
          <w:sz w:val="24"/>
          <w:szCs w:val="24"/>
        </w:rPr>
        <w:t xml:space="preserve"> proper accounting records and accounts as required by its own legal and regulatory framework. These frameworks will differ between exempt charities</w:t>
      </w:r>
    </w:p>
    <w:p w14:paraId="2A5415DD" w14:textId="77777777" w:rsidR="00C665FB" w:rsidRPr="00AE463E" w:rsidRDefault="00C665FB" w:rsidP="00C665FB">
      <w:pPr>
        <w:numPr>
          <w:ilvl w:val="0"/>
          <w:numId w:val="2"/>
        </w:numPr>
        <w:shd w:val="clear" w:color="auto" w:fill="FFFFFF"/>
        <w:spacing w:after="75" w:line="240" w:lineRule="auto"/>
        <w:ind w:left="300"/>
        <w:rPr>
          <w:rFonts w:ascii="Arial" w:hAnsi="Arial" w:cs="Arial"/>
          <w:color w:val="0B0C0C"/>
          <w:sz w:val="24"/>
          <w:szCs w:val="24"/>
        </w:rPr>
      </w:pPr>
      <w:proofErr w:type="gramStart"/>
      <w:r w:rsidRPr="00AE463E">
        <w:rPr>
          <w:rFonts w:ascii="Arial" w:hAnsi="Arial" w:cs="Arial"/>
          <w:color w:val="0B0C0C"/>
          <w:sz w:val="24"/>
          <w:szCs w:val="24"/>
        </w:rPr>
        <w:t>prepare</w:t>
      </w:r>
      <w:proofErr w:type="gramEnd"/>
      <w:r w:rsidRPr="00AE463E">
        <w:rPr>
          <w:rFonts w:ascii="Arial" w:hAnsi="Arial" w:cs="Arial"/>
          <w:color w:val="0B0C0C"/>
          <w:sz w:val="24"/>
          <w:szCs w:val="24"/>
        </w:rPr>
        <w:t xml:space="preserve"> consecutive statements of account. These must consist of:</w:t>
      </w:r>
    </w:p>
    <w:p w14:paraId="76D776BB" w14:textId="77777777" w:rsidR="00C665FB" w:rsidRPr="00AE463E" w:rsidRDefault="00C665FB" w:rsidP="00C665FB">
      <w:pPr>
        <w:numPr>
          <w:ilvl w:val="1"/>
          <w:numId w:val="2"/>
        </w:numPr>
        <w:shd w:val="clear" w:color="auto" w:fill="FFFFFF"/>
        <w:spacing w:after="75" w:line="240" w:lineRule="auto"/>
        <w:ind w:left="600"/>
        <w:rPr>
          <w:rFonts w:ascii="Arial" w:hAnsi="Arial" w:cs="Arial"/>
          <w:color w:val="0B0C0C"/>
          <w:sz w:val="24"/>
          <w:szCs w:val="24"/>
        </w:rPr>
      </w:pPr>
      <w:r w:rsidRPr="00AE463E">
        <w:rPr>
          <w:rFonts w:ascii="Arial" w:hAnsi="Arial" w:cs="Arial"/>
          <w:color w:val="0B0C0C"/>
          <w:sz w:val="24"/>
          <w:szCs w:val="24"/>
        </w:rPr>
        <w:t>an income and expenditure account for a period of not more than 15 months</w:t>
      </w:r>
    </w:p>
    <w:p w14:paraId="42F2CDA8" w14:textId="77777777" w:rsidR="00C665FB" w:rsidRPr="00AE463E" w:rsidRDefault="00C665FB" w:rsidP="00C665FB">
      <w:pPr>
        <w:numPr>
          <w:ilvl w:val="1"/>
          <w:numId w:val="2"/>
        </w:numPr>
        <w:shd w:val="clear" w:color="auto" w:fill="FFFFFF"/>
        <w:spacing w:after="75" w:line="240" w:lineRule="auto"/>
        <w:ind w:left="600"/>
        <w:rPr>
          <w:rFonts w:ascii="Arial" w:hAnsi="Arial" w:cs="Arial"/>
          <w:color w:val="0B0C0C"/>
          <w:sz w:val="24"/>
          <w:szCs w:val="24"/>
        </w:rPr>
      </w:pPr>
      <w:r w:rsidRPr="00AE463E">
        <w:rPr>
          <w:rFonts w:ascii="Arial" w:hAnsi="Arial" w:cs="Arial"/>
          <w:color w:val="0B0C0C"/>
          <w:sz w:val="24"/>
          <w:szCs w:val="24"/>
        </w:rPr>
        <w:t>balance sheet relating to the end of that period</w:t>
      </w:r>
    </w:p>
    <w:p w14:paraId="77C88B42" w14:textId="77777777" w:rsidR="00C665FB" w:rsidRPr="00AE463E" w:rsidRDefault="00C665FB" w:rsidP="00C665FB">
      <w:pPr>
        <w:numPr>
          <w:ilvl w:val="0"/>
          <w:numId w:val="2"/>
        </w:numPr>
        <w:shd w:val="clear" w:color="auto" w:fill="FFFFFF"/>
        <w:spacing w:after="75" w:line="240" w:lineRule="auto"/>
        <w:ind w:left="300"/>
        <w:rPr>
          <w:rFonts w:ascii="Arial" w:hAnsi="Arial" w:cs="Arial"/>
          <w:color w:val="0B0C0C"/>
          <w:sz w:val="24"/>
          <w:szCs w:val="24"/>
        </w:rPr>
      </w:pPr>
      <w:r w:rsidRPr="00AE463E">
        <w:rPr>
          <w:rFonts w:ascii="Arial" w:hAnsi="Arial" w:cs="Arial"/>
          <w:color w:val="0B0C0C"/>
          <w:sz w:val="24"/>
          <w:szCs w:val="24"/>
        </w:rPr>
        <w:t>keep records and statements for at least 6 years unless the charity closes and the Commission gives written consent to their disposal</w:t>
      </w:r>
    </w:p>
    <w:p w14:paraId="63934C06" w14:textId="77777777" w:rsidR="00C665FB" w:rsidRPr="00AE463E" w:rsidRDefault="00C665FB" w:rsidP="00C665FB">
      <w:pPr>
        <w:numPr>
          <w:ilvl w:val="0"/>
          <w:numId w:val="2"/>
        </w:numPr>
        <w:shd w:val="clear" w:color="auto" w:fill="FFFFFF"/>
        <w:spacing w:after="75" w:line="240" w:lineRule="auto"/>
        <w:ind w:left="300"/>
        <w:rPr>
          <w:rFonts w:ascii="Arial" w:hAnsi="Arial" w:cs="Arial"/>
          <w:color w:val="0B0C0C"/>
          <w:sz w:val="24"/>
          <w:szCs w:val="24"/>
        </w:rPr>
      </w:pPr>
      <w:proofErr w:type="gramStart"/>
      <w:r w:rsidRPr="00AE463E">
        <w:rPr>
          <w:rFonts w:ascii="Arial" w:hAnsi="Arial" w:cs="Arial"/>
          <w:color w:val="0B0C0C"/>
          <w:sz w:val="24"/>
          <w:szCs w:val="24"/>
        </w:rPr>
        <w:t>provide</w:t>
      </w:r>
      <w:proofErr w:type="gramEnd"/>
      <w:r w:rsidRPr="00AE463E">
        <w:rPr>
          <w:rFonts w:ascii="Arial" w:hAnsi="Arial" w:cs="Arial"/>
          <w:color w:val="0B0C0C"/>
          <w:sz w:val="24"/>
          <w:szCs w:val="24"/>
        </w:rPr>
        <w:t xml:space="preserve"> a copy of its most recent accounts to anyone who makes a written request, within 2 months. It may charge a reasonable fee to cover the costs of doing this</w:t>
      </w:r>
    </w:p>
    <w:p w14:paraId="4DAD4989" w14:textId="77777777" w:rsidR="0033709F" w:rsidRDefault="00C665FB" w:rsidP="0033709F">
      <w:pPr>
        <w:pStyle w:val="NormalWeb"/>
        <w:shd w:val="clear" w:color="auto" w:fill="FFFFFF"/>
        <w:spacing w:before="300" w:beforeAutospacing="0" w:after="300" w:afterAutospacing="0"/>
        <w:rPr>
          <w:rFonts w:ascii="Arial" w:hAnsi="Arial" w:cs="Arial"/>
          <w:color w:val="0B0C0C"/>
        </w:rPr>
      </w:pPr>
      <w:r w:rsidRPr="00AE463E">
        <w:rPr>
          <w:rFonts w:ascii="Arial" w:hAnsi="Arial" w:cs="Arial"/>
          <w:color w:val="0B0C0C"/>
        </w:rPr>
        <w:t>Exempt charities that are companies must produce accounts that give a ‘true and fair’ view. They must also follow UK-Irish Generally Accepted Accounting Practice,</w:t>
      </w:r>
    </w:p>
    <w:p w14:paraId="5748CCC1" w14:textId="02DB8C81" w:rsidR="00C665FB" w:rsidRPr="0033709F" w:rsidRDefault="00C665FB" w:rsidP="0033709F">
      <w:pPr>
        <w:pStyle w:val="NormalWeb"/>
        <w:numPr>
          <w:ilvl w:val="0"/>
          <w:numId w:val="5"/>
        </w:numPr>
        <w:shd w:val="clear" w:color="auto" w:fill="FFFFFF"/>
        <w:spacing w:before="300" w:beforeAutospacing="0" w:after="300" w:afterAutospacing="0"/>
        <w:rPr>
          <w:rFonts w:ascii="Arial" w:hAnsi="Arial" w:cs="Arial"/>
          <w:b/>
          <w:bCs/>
          <w:color w:val="0B0C0C"/>
        </w:rPr>
      </w:pPr>
      <w:r w:rsidRPr="0033709F">
        <w:rPr>
          <w:rFonts w:ascii="Arial" w:hAnsi="Arial" w:cs="Arial"/>
          <w:b/>
          <w:bCs/>
          <w:color w:val="0B0C0C"/>
        </w:rPr>
        <w:lastRenderedPageBreak/>
        <w:t>Official Custodian for charities</w:t>
      </w:r>
    </w:p>
    <w:p w14:paraId="1EE3FDFA" w14:textId="3BA9E324" w:rsidR="00C665FB" w:rsidRDefault="00C665FB" w:rsidP="00C665FB">
      <w:pPr>
        <w:pStyle w:val="NormalWeb"/>
        <w:shd w:val="clear" w:color="auto" w:fill="FFFFFF"/>
        <w:spacing w:before="300" w:beforeAutospacing="0" w:after="300" w:afterAutospacing="0"/>
        <w:rPr>
          <w:rFonts w:ascii="Arial" w:hAnsi="Arial" w:cs="Arial"/>
          <w:color w:val="0B0C0C"/>
        </w:rPr>
      </w:pPr>
      <w:r w:rsidRPr="00AE463E">
        <w:rPr>
          <w:rFonts w:ascii="Arial" w:hAnsi="Arial" w:cs="Arial"/>
          <w:color w:val="0B0C0C"/>
        </w:rPr>
        <w:t>All exempt charities can ask the Commission to make an order to vest title to land in the Official Custodian for charities.</w:t>
      </w:r>
    </w:p>
    <w:p w14:paraId="47C9FB28" w14:textId="3FBA488D" w:rsidR="00707EA5" w:rsidRPr="0033709F" w:rsidRDefault="00707EA5" w:rsidP="0033709F">
      <w:pPr>
        <w:pStyle w:val="NormalWeb"/>
        <w:numPr>
          <w:ilvl w:val="0"/>
          <w:numId w:val="5"/>
        </w:numPr>
        <w:shd w:val="clear" w:color="auto" w:fill="FFFFFF"/>
        <w:spacing w:before="300" w:beforeAutospacing="0" w:after="300" w:afterAutospacing="0"/>
        <w:rPr>
          <w:rFonts w:ascii="Arial" w:hAnsi="Arial" w:cs="Arial"/>
          <w:b/>
          <w:bCs/>
          <w:color w:val="0B0C0C"/>
        </w:rPr>
      </w:pPr>
      <w:r w:rsidRPr="0033709F">
        <w:rPr>
          <w:rFonts w:ascii="Arial" w:hAnsi="Arial" w:cs="Arial"/>
          <w:b/>
          <w:bCs/>
          <w:color w:val="0B0C0C"/>
        </w:rPr>
        <w:t>How the Commission can help exempt charities</w:t>
      </w:r>
    </w:p>
    <w:p w14:paraId="7EA370C6" w14:textId="1903BC29" w:rsidR="00707EA5" w:rsidRDefault="00707EA5" w:rsidP="00707EA5">
      <w:pPr>
        <w:pStyle w:val="NormalWeb"/>
        <w:shd w:val="clear" w:color="auto" w:fill="FFFFFF"/>
        <w:spacing w:before="300" w:beforeAutospacing="0" w:after="300" w:afterAutospacing="0"/>
        <w:rPr>
          <w:rFonts w:ascii="Arial" w:hAnsi="Arial" w:cs="Arial"/>
          <w:color w:val="0B0C0C"/>
          <w:shd w:val="clear" w:color="auto" w:fill="FFFFFF"/>
        </w:rPr>
      </w:pPr>
      <w:r w:rsidRPr="00AE463E">
        <w:rPr>
          <w:rFonts w:ascii="Arial" w:hAnsi="Arial" w:cs="Arial"/>
          <w:color w:val="0B0C0C"/>
        </w:rPr>
        <w:t xml:space="preserve">Exempt charities can ask the Commission to help them by using its powers to provide advice, guidance and assistance to charities. The Commission can only use these powers after it has consulted the principal regulator. </w:t>
      </w:r>
      <w:r w:rsidRPr="00AE463E">
        <w:rPr>
          <w:rFonts w:ascii="Arial" w:hAnsi="Arial" w:cs="Arial"/>
          <w:color w:val="0B0C0C"/>
          <w:shd w:val="clear" w:color="auto" w:fill="FFFFFF"/>
        </w:rPr>
        <w:t>Trustees should instead understand and comply with any requirements to report to their principal regulator.</w:t>
      </w:r>
    </w:p>
    <w:p w14:paraId="72AFF1AB" w14:textId="77777777" w:rsidR="0033709F" w:rsidRDefault="0033709F" w:rsidP="0033709F">
      <w:pPr>
        <w:pStyle w:val="NormalWeb"/>
        <w:shd w:val="clear" w:color="auto" w:fill="FFFFFF"/>
        <w:spacing w:before="300" w:beforeAutospacing="0" w:after="300" w:afterAutospacing="0"/>
        <w:rPr>
          <w:rFonts w:ascii="Arial" w:hAnsi="Arial" w:cs="Arial"/>
          <w:b/>
          <w:bCs/>
          <w:i/>
          <w:iCs/>
          <w:color w:val="0B0C0C"/>
          <w:shd w:val="clear" w:color="auto" w:fill="FFFFFF"/>
        </w:rPr>
      </w:pPr>
      <w:r>
        <w:rPr>
          <w:rFonts w:ascii="Arial" w:hAnsi="Arial" w:cs="Arial"/>
          <w:b/>
          <w:bCs/>
          <w:i/>
          <w:iCs/>
          <w:color w:val="0B0C0C"/>
          <w:shd w:val="clear" w:color="auto" w:fill="FFFFFF"/>
        </w:rPr>
        <w:t>Note: CMCC has no principal regulator and must consider the original scheme dated 5</w:t>
      </w:r>
      <w:r w:rsidRPr="0033709F">
        <w:rPr>
          <w:rFonts w:ascii="Arial" w:hAnsi="Arial" w:cs="Arial"/>
          <w:b/>
          <w:bCs/>
          <w:i/>
          <w:iCs/>
          <w:color w:val="0B0C0C"/>
          <w:shd w:val="clear" w:color="auto" w:fill="FFFFFF"/>
          <w:vertAlign w:val="superscript"/>
        </w:rPr>
        <w:t>th</w:t>
      </w:r>
      <w:r>
        <w:rPr>
          <w:rFonts w:ascii="Arial" w:hAnsi="Arial" w:cs="Arial"/>
          <w:b/>
          <w:bCs/>
          <w:i/>
          <w:iCs/>
          <w:color w:val="0B0C0C"/>
          <w:shd w:val="clear" w:color="auto" w:fill="FFFFFF"/>
        </w:rPr>
        <w:t xml:space="preserve"> February 1874.</w:t>
      </w:r>
    </w:p>
    <w:p w14:paraId="5F2A5C5B" w14:textId="58617847" w:rsidR="00707EA5" w:rsidRPr="0033709F" w:rsidRDefault="0033709F" w:rsidP="0033709F">
      <w:pPr>
        <w:pStyle w:val="NormalWeb"/>
        <w:numPr>
          <w:ilvl w:val="0"/>
          <w:numId w:val="5"/>
        </w:numPr>
        <w:shd w:val="clear" w:color="auto" w:fill="FFFFFF"/>
        <w:spacing w:before="300" w:beforeAutospacing="0" w:after="300" w:afterAutospacing="0"/>
        <w:rPr>
          <w:rFonts w:ascii="Arial" w:hAnsi="Arial" w:cs="Arial"/>
          <w:b/>
          <w:bCs/>
          <w:i/>
          <w:iCs/>
          <w:color w:val="0B0C0C"/>
          <w:shd w:val="clear" w:color="auto" w:fill="FFFFFF"/>
        </w:rPr>
      </w:pPr>
      <w:r w:rsidRPr="0033709F">
        <w:rPr>
          <w:rFonts w:ascii="Arial" w:hAnsi="Arial" w:cs="Arial"/>
          <w:b/>
          <w:bCs/>
          <w:color w:val="0B0C0C"/>
        </w:rPr>
        <w:t>A</w:t>
      </w:r>
      <w:r w:rsidR="00707EA5" w:rsidRPr="0033709F">
        <w:rPr>
          <w:rFonts w:ascii="Arial" w:hAnsi="Arial" w:cs="Arial"/>
          <w:b/>
          <w:bCs/>
          <w:color w:val="0B0C0C"/>
        </w:rPr>
        <w:t>mending or replacing a governing document</w:t>
      </w:r>
    </w:p>
    <w:p w14:paraId="7725F5C8" w14:textId="2E502A50" w:rsidR="00707EA5" w:rsidRDefault="00707EA5" w:rsidP="00707EA5">
      <w:pPr>
        <w:pStyle w:val="NormalWeb"/>
        <w:shd w:val="clear" w:color="auto" w:fill="FFFFFF"/>
        <w:spacing w:before="300" w:beforeAutospacing="0" w:after="300" w:afterAutospacing="0"/>
        <w:rPr>
          <w:rFonts w:ascii="Arial" w:hAnsi="Arial" w:cs="Arial"/>
          <w:color w:val="0B0C0C"/>
        </w:rPr>
      </w:pPr>
      <w:r w:rsidRPr="00AE463E">
        <w:rPr>
          <w:rFonts w:ascii="Arial" w:hAnsi="Arial" w:cs="Arial"/>
          <w:color w:val="0B0C0C"/>
        </w:rPr>
        <w:t>Exempt charities can apply to the Commission for an order or scheme to modify or replace the charity’s governing document. The Commission will only make orders or schemes where there is no other provision for changes to be made.</w:t>
      </w:r>
    </w:p>
    <w:p w14:paraId="18552C41" w14:textId="0D15777A" w:rsidR="00C665FB" w:rsidRPr="00C665FB" w:rsidRDefault="00C665FB" w:rsidP="0033709F">
      <w:pPr>
        <w:pStyle w:val="NormalWeb"/>
        <w:numPr>
          <w:ilvl w:val="0"/>
          <w:numId w:val="5"/>
        </w:numPr>
        <w:shd w:val="clear" w:color="auto" w:fill="FFFFFF"/>
        <w:spacing w:before="300" w:beforeAutospacing="0" w:after="300" w:afterAutospacing="0"/>
        <w:rPr>
          <w:rFonts w:ascii="Arial" w:hAnsi="Arial" w:cs="Arial"/>
          <w:b/>
          <w:bCs/>
          <w:color w:val="0B0C0C"/>
        </w:rPr>
      </w:pPr>
      <w:r w:rsidRPr="00C665FB">
        <w:rPr>
          <w:rFonts w:ascii="Arial" w:hAnsi="Arial" w:cs="Arial"/>
          <w:b/>
          <w:bCs/>
          <w:color w:val="0B0C0C"/>
        </w:rPr>
        <w:t>Financial benefits for exempt charities</w:t>
      </w:r>
    </w:p>
    <w:p w14:paraId="168F7EED" w14:textId="77777777" w:rsidR="00C665FB" w:rsidRPr="00C665FB" w:rsidRDefault="00C665FB" w:rsidP="00C665FB">
      <w:pPr>
        <w:shd w:val="clear" w:color="auto" w:fill="FFFFFF"/>
        <w:spacing w:before="300" w:after="300" w:line="240" w:lineRule="auto"/>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All exempt charities can claim the same tax reliefs as registered charities, including:</w:t>
      </w:r>
    </w:p>
    <w:p w14:paraId="1A04FE40" w14:textId="77777777" w:rsidR="00C665FB" w:rsidRPr="00C665FB" w:rsidRDefault="00C665FB" w:rsidP="00C665FB">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relief from income tax, corporation tax and capital gains tax</w:t>
      </w:r>
    </w:p>
    <w:p w14:paraId="4C9AA0E9" w14:textId="77777777" w:rsidR="00C665FB" w:rsidRPr="00C665FB" w:rsidRDefault="00C665FB" w:rsidP="00C665FB">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exemption from inheritance tax</w:t>
      </w:r>
    </w:p>
    <w:p w14:paraId="631BE54E" w14:textId="77777777" w:rsidR="00C665FB" w:rsidRPr="00C665FB" w:rsidRDefault="00C665FB" w:rsidP="00C665FB">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relief from business or non-domestic rates</w:t>
      </w:r>
    </w:p>
    <w:p w14:paraId="4038D94C" w14:textId="0B9547CF" w:rsidR="00C665FB" w:rsidRDefault="00C665FB" w:rsidP="00C665FB">
      <w:pPr>
        <w:shd w:val="clear" w:color="auto" w:fill="FFFFFF"/>
        <w:spacing w:before="300" w:after="300" w:line="240" w:lineRule="auto"/>
        <w:rPr>
          <w:rFonts w:ascii="Arial" w:eastAsia="Times New Roman" w:hAnsi="Arial" w:cs="Arial"/>
          <w:color w:val="0B0C0C"/>
          <w:sz w:val="24"/>
          <w:szCs w:val="24"/>
          <w:lang w:eastAsia="en-GB"/>
        </w:rPr>
      </w:pPr>
      <w:r w:rsidRPr="00C665FB">
        <w:rPr>
          <w:rFonts w:ascii="Arial" w:eastAsia="Times New Roman" w:hAnsi="Arial" w:cs="Arial"/>
          <w:color w:val="0B0C0C"/>
          <w:sz w:val="24"/>
          <w:szCs w:val="24"/>
          <w:lang w:eastAsia="en-GB"/>
        </w:rPr>
        <w:t>To benefit from most reliefs, the charity must be recognised by HMRC.</w:t>
      </w:r>
    </w:p>
    <w:p w14:paraId="78F0846C" w14:textId="77777777" w:rsidR="0033709F" w:rsidRPr="00C665FB" w:rsidRDefault="0033709F" w:rsidP="00C665FB">
      <w:pPr>
        <w:shd w:val="clear" w:color="auto" w:fill="FFFFFF"/>
        <w:spacing w:before="300" w:after="300" w:line="240" w:lineRule="auto"/>
        <w:rPr>
          <w:rFonts w:ascii="Arial" w:eastAsia="Times New Roman" w:hAnsi="Arial" w:cs="Arial"/>
          <w:color w:val="0B0C0C"/>
          <w:sz w:val="24"/>
          <w:szCs w:val="24"/>
          <w:lang w:eastAsia="en-GB"/>
        </w:rPr>
      </w:pPr>
    </w:p>
    <w:p w14:paraId="487CCC8F" w14:textId="26BD0E08" w:rsidR="00C665FB" w:rsidRDefault="00C665FB">
      <w:pPr>
        <w:rPr>
          <w:sz w:val="24"/>
          <w:szCs w:val="24"/>
        </w:rPr>
      </w:pPr>
    </w:p>
    <w:p w14:paraId="3DD01928" w14:textId="77777777" w:rsidR="00AE463E" w:rsidRPr="00AE463E" w:rsidRDefault="00AE463E">
      <w:pPr>
        <w:rPr>
          <w:sz w:val="24"/>
          <w:szCs w:val="24"/>
        </w:rPr>
      </w:pPr>
    </w:p>
    <w:sectPr w:rsidR="00AE463E" w:rsidRPr="00AE4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5F0"/>
    <w:multiLevelType w:val="hybridMultilevel"/>
    <w:tmpl w:val="653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BC0"/>
    <w:multiLevelType w:val="multilevel"/>
    <w:tmpl w:val="B51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F52248"/>
    <w:multiLevelType w:val="multilevel"/>
    <w:tmpl w:val="B13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D34DD"/>
    <w:multiLevelType w:val="hybridMultilevel"/>
    <w:tmpl w:val="56FA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044837"/>
    <w:multiLevelType w:val="multilevel"/>
    <w:tmpl w:val="478EA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FB"/>
    <w:rsid w:val="000A6A30"/>
    <w:rsid w:val="0033709F"/>
    <w:rsid w:val="00381153"/>
    <w:rsid w:val="003E0D0B"/>
    <w:rsid w:val="00506812"/>
    <w:rsid w:val="006F1708"/>
    <w:rsid w:val="00707EA5"/>
    <w:rsid w:val="00AE463E"/>
    <w:rsid w:val="00C665FB"/>
    <w:rsid w:val="00EE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CF00"/>
  <w15:chartTrackingRefBased/>
  <w15:docId w15:val="{78B6E426-109A-4F83-82BF-0E1456E6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65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6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5F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66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665F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E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3823">
      <w:bodyDiv w:val="1"/>
      <w:marLeft w:val="0"/>
      <w:marRight w:val="0"/>
      <w:marTop w:val="0"/>
      <w:marBottom w:val="0"/>
      <w:divBdr>
        <w:top w:val="none" w:sz="0" w:space="0" w:color="auto"/>
        <w:left w:val="none" w:sz="0" w:space="0" w:color="auto"/>
        <w:bottom w:val="none" w:sz="0" w:space="0" w:color="auto"/>
        <w:right w:val="none" w:sz="0" w:space="0" w:color="auto"/>
      </w:divBdr>
    </w:div>
    <w:div w:id="1035081136">
      <w:bodyDiv w:val="1"/>
      <w:marLeft w:val="0"/>
      <w:marRight w:val="0"/>
      <w:marTop w:val="0"/>
      <w:marBottom w:val="0"/>
      <w:divBdr>
        <w:top w:val="none" w:sz="0" w:space="0" w:color="auto"/>
        <w:left w:val="none" w:sz="0" w:space="0" w:color="auto"/>
        <w:bottom w:val="none" w:sz="0" w:space="0" w:color="auto"/>
        <w:right w:val="none" w:sz="0" w:space="0" w:color="auto"/>
      </w:divBdr>
    </w:div>
    <w:div w:id="1433620960">
      <w:bodyDiv w:val="1"/>
      <w:marLeft w:val="0"/>
      <w:marRight w:val="0"/>
      <w:marTop w:val="0"/>
      <w:marBottom w:val="0"/>
      <w:divBdr>
        <w:top w:val="none" w:sz="0" w:space="0" w:color="auto"/>
        <w:left w:val="none" w:sz="0" w:space="0" w:color="auto"/>
        <w:bottom w:val="none" w:sz="0" w:space="0" w:color="auto"/>
        <w:right w:val="none" w:sz="0" w:space="0" w:color="auto"/>
      </w:divBdr>
    </w:div>
    <w:div w:id="1984504600">
      <w:bodyDiv w:val="1"/>
      <w:marLeft w:val="0"/>
      <w:marRight w:val="0"/>
      <w:marTop w:val="0"/>
      <w:marBottom w:val="0"/>
      <w:divBdr>
        <w:top w:val="none" w:sz="0" w:space="0" w:color="auto"/>
        <w:left w:val="none" w:sz="0" w:space="0" w:color="auto"/>
        <w:bottom w:val="none" w:sz="0" w:space="0" w:color="auto"/>
        <w:right w:val="none" w:sz="0" w:space="0" w:color="auto"/>
      </w:divBdr>
    </w:div>
    <w:div w:id="20767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CMPC1</cp:lastModifiedBy>
  <cp:revision>2</cp:revision>
  <cp:lastPrinted>2020-07-03T14:19:00Z</cp:lastPrinted>
  <dcterms:created xsi:type="dcterms:W3CDTF">2020-07-07T15:02:00Z</dcterms:created>
  <dcterms:modified xsi:type="dcterms:W3CDTF">2020-07-07T15:02:00Z</dcterms:modified>
</cp:coreProperties>
</file>